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BF36D" w14:textId="052ABB0F" w:rsidR="001F1EDC" w:rsidRPr="00316DEE" w:rsidRDefault="001F1EDC" w:rsidP="001F1EDC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 w:rsidRPr="00316DEE">
        <w:rPr>
          <w:b/>
          <w:noProof/>
          <w:sz w:val="24"/>
        </w:rPr>
        <w:t>3GPP TSG-RAN WG2 Meeting #10</w:t>
      </w:r>
      <w:r w:rsidR="00CF7202">
        <w:rPr>
          <w:b/>
          <w:noProof/>
          <w:sz w:val="24"/>
        </w:rPr>
        <w:t>8</w:t>
      </w:r>
      <w:r w:rsidRPr="00316DEE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E6EA2">
        <w:rPr>
          <w:b/>
          <w:noProof/>
          <w:sz w:val="28"/>
        </w:rPr>
        <w:t>R2-</w:t>
      </w:r>
      <w:r>
        <w:rPr>
          <w:b/>
          <w:noProof/>
          <w:sz w:val="28"/>
        </w:rPr>
        <w:t>19</w:t>
      </w:r>
      <w:r w:rsidR="00B46732">
        <w:rPr>
          <w:b/>
          <w:noProof/>
          <w:sz w:val="28"/>
        </w:rPr>
        <w:t>1</w:t>
      </w:r>
      <w:r w:rsidR="001E6BC2">
        <w:rPr>
          <w:b/>
          <w:noProof/>
          <w:sz w:val="28"/>
        </w:rPr>
        <w:t>5718</w:t>
      </w:r>
    </w:p>
    <w:p w14:paraId="032684FA" w14:textId="311AF9FF" w:rsidR="001F1EDC" w:rsidRPr="00316DEE" w:rsidRDefault="00CF7202" w:rsidP="001F1ED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Reno, Nevada, USA 18-22 November 2019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53675979" w14:textId="36D301BC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9E618E">
        <w:rPr>
          <w:rFonts w:ascii="Arial" w:hAnsi="Arial"/>
          <w:sz w:val="24"/>
          <w:lang w:val="en-US"/>
        </w:rPr>
        <w:t>7</w:t>
      </w:r>
      <w:r>
        <w:rPr>
          <w:rFonts w:ascii="Arial" w:hAnsi="Arial"/>
          <w:sz w:val="24"/>
          <w:lang w:val="en-US"/>
        </w:rPr>
        <w:t>.</w:t>
      </w:r>
      <w:r w:rsidR="001635D1">
        <w:rPr>
          <w:rFonts w:ascii="Arial" w:hAnsi="Arial"/>
          <w:sz w:val="24"/>
          <w:lang w:val="en-US"/>
        </w:rPr>
        <w:t>1.1</w:t>
      </w:r>
    </w:p>
    <w:p w14:paraId="3EE05418" w14:textId="77777777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Pr="00316DEE">
        <w:rPr>
          <w:rFonts w:ascii="Arial" w:hAnsi="Arial"/>
          <w:sz w:val="24"/>
          <w:lang w:val="en-US"/>
        </w:rPr>
        <w:t>Qualcomm Incorporated</w:t>
      </w:r>
    </w:p>
    <w:p w14:paraId="3F06EE17" w14:textId="6C8BC40D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A56395">
        <w:rPr>
          <w:rFonts w:ascii="Arial" w:hAnsi="Arial"/>
          <w:sz w:val="22"/>
          <w:lang w:val="en-US"/>
        </w:rPr>
        <w:t xml:space="preserve">Discussion on reply LS from SA2 on </w:t>
      </w:r>
      <w:r w:rsidR="00BE3A58">
        <w:rPr>
          <w:rFonts w:ascii="Arial" w:hAnsi="Arial"/>
          <w:sz w:val="22"/>
          <w:lang w:val="en-US"/>
        </w:rPr>
        <w:t>MT-EDT</w:t>
      </w:r>
    </w:p>
    <w:p w14:paraId="07E8CC3D" w14:textId="0A27C2EC" w:rsidR="001F1EDC" w:rsidRPr="00316DEE" w:rsidRDefault="001F1EDC" w:rsidP="00231237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231237">
        <w:rPr>
          <w:rFonts w:ascii="Arial" w:hAnsi="Arial"/>
          <w:sz w:val="24"/>
          <w:lang w:val="en-US"/>
        </w:rPr>
        <w:tab/>
      </w:r>
      <w:r w:rsidRPr="00231237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3213E4C0" w14:textId="0EF0B7C8" w:rsidR="00C1191E" w:rsidRDefault="00C1191E" w:rsidP="00F64ED3">
      <w:pPr>
        <w:jc w:val="both"/>
        <w:rPr>
          <w:rFonts w:ascii="Arial" w:eastAsia="DengXian" w:hAnsi="Arial" w:cs="Arial"/>
        </w:rPr>
      </w:pPr>
      <w:r>
        <w:t xml:space="preserve">RAN2 received </w:t>
      </w:r>
      <w:r w:rsidRPr="00C1191E">
        <w:t>Reply LS on Mobile-terminated Early Data Transmission</w:t>
      </w:r>
      <w:r>
        <w:t xml:space="preserve"> in </w:t>
      </w:r>
      <w:bookmarkStart w:id="2" w:name="_Hlk23967323"/>
      <w:r>
        <w:t>R2-</w:t>
      </w:r>
      <w:r w:rsidR="00990FB1">
        <w:t>1914356</w:t>
      </w:r>
      <w:r>
        <w:t>/S2-1910804</w:t>
      </w:r>
      <w:bookmarkEnd w:id="2"/>
      <w:r w:rsidR="00496D81">
        <w:t xml:space="preserve"> [1]</w:t>
      </w:r>
      <w:r>
        <w:t>. In the LS, SA2 indicates that technically endorsed</w:t>
      </w:r>
      <w:r w:rsidR="00B25046">
        <w:t xml:space="preserve"> MT-EDT</w:t>
      </w:r>
      <w:r>
        <w:t xml:space="preserve"> CRs for EPS and 5GS and requests “</w:t>
      </w:r>
      <w:r w:rsidRPr="00C1191E">
        <w:t>Given SA2 and RAN2/3 meetings are happening the same week, early answer will be appreciated so that the corresponding CR can be agreed by SA2#136.”</w:t>
      </w:r>
    </w:p>
    <w:p w14:paraId="1027121C" w14:textId="2367DF81" w:rsidR="00F64ED3" w:rsidRDefault="001E75E8" w:rsidP="00F64ED3">
      <w:pPr>
        <w:jc w:val="both"/>
      </w:pPr>
      <w:r>
        <w:t>In t</w:t>
      </w:r>
      <w:r w:rsidR="00F64ED3">
        <w:t>his document</w:t>
      </w:r>
      <w:r>
        <w:t>, we</w:t>
      </w:r>
      <w:r w:rsidR="00F64ED3">
        <w:t xml:space="preserve"> discus</w:t>
      </w:r>
      <w:r>
        <w:t>s</w:t>
      </w:r>
      <w:r w:rsidR="00F64ED3">
        <w:t xml:space="preserve"> about </w:t>
      </w:r>
      <w:r w:rsidR="00957A42">
        <w:t xml:space="preserve">the </w:t>
      </w:r>
      <w:r w:rsidR="00B25046">
        <w:t xml:space="preserve">reply </w:t>
      </w:r>
      <w:r w:rsidR="00957A42">
        <w:t>LS</w:t>
      </w:r>
      <w:r w:rsidR="00B25046">
        <w:t xml:space="preserve"> from SA2</w:t>
      </w:r>
      <w:r w:rsidR="00F64ED3">
        <w:t>.</w:t>
      </w:r>
    </w:p>
    <w:p w14:paraId="3FEDDD19" w14:textId="0045C870" w:rsidR="001F1EDC" w:rsidRDefault="00F64ED3" w:rsidP="00F64ED3">
      <w:pPr>
        <w:pStyle w:val="Heading1"/>
      </w:pPr>
      <w:r>
        <w:t xml:space="preserve"> </w:t>
      </w:r>
      <w:r w:rsidR="009F40E5">
        <w:t>Discussion</w:t>
      </w:r>
      <w:r w:rsidR="004736B9">
        <w:t xml:space="preserve"> </w:t>
      </w:r>
    </w:p>
    <w:p w14:paraId="2347D410" w14:textId="106AB421" w:rsidR="004736B9" w:rsidRDefault="00873C10" w:rsidP="004736B9">
      <w:r>
        <w:t>The LS indicated that “</w:t>
      </w:r>
      <w:r w:rsidRPr="0051696D">
        <w:t xml:space="preserve">SA2 discussed the system impact for MSG4 solution and technically endorsed the attached CRs for EPS and 5GS.” Although no CRs were </w:t>
      </w:r>
      <w:proofErr w:type="gramStart"/>
      <w:r w:rsidRPr="0051696D">
        <w:t>actually attached</w:t>
      </w:r>
      <w:proofErr w:type="gramEnd"/>
      <w:r w:rsidRPr="0051696D">
        <w:t xml:space="preserve"> in the LS, the CRs referenced in the text are </w:t>
      </w:r>
      <w:r>
        <w:t>S2-1910801 for TS 23.401 and S2-1910763 for TS 23.502.</w:t>
      </w:r>
    </w:p>
    <w:p w14:paraId="33662DB9" w14:textId="1780EA7B" w:rsidR="00D87309" w:rsidRPr="00A37ECB" w:rsidRDefault="00873C10" w:rsidP="00A37ECB">
      <w:pPr>
        <w:pStyle w:val="Observation"/>
        <w:numPr>
          <w:ilvl w:val="0"/>
          <w:numId w:val="7"/>
        </w:numPr>
        <w:tabs>
          <w:tab w:val="clear" w:pos="2160"/>
        </w:tabs>
        <w:spacing w:before="240" w:after="240" w:line="360" w:lineRule="auto"/>
        <w:contextualSpacing/>
        <w:rPr>
          <w:color w:val="000000"/>
        </w:rPr>
      </w:pPr>
      <w:bookmarkStart w:id="3" w:name="_Toc23969027"/>
      <w:bookmarkStart w:id="4" w:name="_Toc23969741"/>
      <w:bookmarkStart w:id="5" w:name="_Toc24030524"/>
      <w:bookmarkStart w:id="6" w:name="_Toc24030603"/>
      <w:bookmarkStart w:id="7" w:name="_Toc24030774"/>
      <w:bookmarkStart w:id="8" w:name="_Toc24030897"/>
      <w:bookmarkStart w:id="9" w:name="_Toc24030977"/>
      <w:r w:rsidRPr="00A37ECB">
        <w:rPr>
          <w:color w:val="000000"/>
        </w:rPr>
        <w:t>SA2 has technically endorsed CRs S2-1910801 for TS 23.401 and S2-1910763 for TS 23.502 introducing msg4-based MT-EDT in EPS and 5GS respectively.</w:t>
      </w:r>
      <w:bookmarkEnd w:id="3"/>
      <w:bookmarkEnd w:id="4"/>
      <w:bookmarkEnd w:id="5"/>
      <w:bookmarkEnd w:id="6"/>
      <w:bookmarkEnd w:id="7"/>
      <w:bookmarkEnd w:id="8"/>
      <w:bookmarkEnd w:id="9"/>
    </w:p>
    <w:p w14:paraId="0D3755B1" w14:textId="50A08642" w:rsidR="006F5DA7" w:rsidRDefault="006F5DA7" w:rsidP="00F43795">
      <w:pPr>
        <w:pStyle w:val="Heading2"/>
        <w:ind w:left="540"/>
      </w:pPr>
      <w:r>
        <w:t>MT</w:t>
      </w:r>
      <w:r w:rsidR="003B4550">
        <w:t>-</w:t>
      </w:r>
      <w:r>
        <w:t xml:space="preserve">EDT </w:t>
      </w:r>
      <w:r w:rsidR="009E5A0A">
        <w:t xml:space="preserve">NAS </w:t>
      </w:r>
      <w:r w:rsidR="00D87309">
        <w:t>capability</w:t>
      </w:r>
    </w:p>
    <w:p w14:paraId="6AF221A0" w14:textId="5356F15C" w:rsidR="00D87309" w:rsidRDefault="002A6DA7" w:rsidP="00D87309">
      <w:r>
        <w:t>RAN2 has not discussed specifically about MT EDT capabilities yet. SA2 indicated in the LS</w:t>
      </w:r>
      <w:r w:rsidR="001E6BC2">
        <w:t>:</w:t>
      </w:r>
    </w:p>
    <w:p w14:paraId="40688894" w14:textId="77777777" w:rsidR="002A6DA7" w:rsidRPr="00EF7E0D" w:rsidRDefault="002A6DA7" w:rsidP="002A6DA7">
      <w:pPr>
        <w:pStyle w:val="Header"/>
        <w:numPr>
          <w:ilvl w:val="0"/>
          <w:numId w:val="32"/>
        </w:numPr>
        <w:tabs>
          <w:tab w:val="clear" w:pos="4153"/>
          <w:tab w:val="clear" w:pos="8306"/>
        </w:tabs>
        <w:spacing w:after="60"/>
        <w:rPr>
          <w:rFonts w:ascii="Arial" w:eastAsia="SimSun" w:hAnsi="Arial" w:cs="Arial"/>
          <w:lang w:eastAsia="zh-CN"/>
        </w:rPr>
      </w:pPr>
      <w:r w:rsidRPr="00EF7E0D">
        <w:rPr>
          <w:rFonts w:ascii="Arial" w:eastAsia="SimSun" w:hAnsi="Arial" w:cs="Arial"/>
          <w:lang w:eastAsia="zh-CN"/>
        </w:rPr>
        <w:t>SA2 has concluded that the UE indicates the capability of supporting MT-EDT via NAS layer. MME can decide whether a PDN connectivity is applied for MT-EDT according to UE capability; SA2 kindly ask RAN2 whether there is concern about this.</w:t>
      </w:r>
    </w:p>
    <w:p w14:paraId="7CCF7D02" w14:textId="054C7F7E" w:rsidR="002A6DA7" w:rsidRDefault="002A6DA7" w:rsidP="00D87309"/>
    <w:p w14:paraId="62C3C390" w14:textId="30AE7DF3" w:rsidR="002A6DA7" w:rsidRDefault="002A6DA7" w:rsidP="00D87309">
      <w:r>
        <w:t>From RAN2 point of view, there should be no issue in introducing NAS based capability to indicate support of MT-EDT via NAS layer.</w:t>
      </w:r>
    </w:p>
    <w:p w14:paraId="33CA44B4" w14:textId="49763821" w:rsidR="002A6DA7" w:rsidRDefault="002A6DA7" w:rsidP="00A37ECB">
      <w:pPr>
        <w:pStyle w:val="Observation"/>
        <w:numPr>
          <w:ilvl w:val="0"/>
          <w:numId w:val="7"/>
        </w:numPr>
        <w:tabs>
          <w:tab w:val="clear" w:pos="2160"/>
        </w:tabs>
        <w:spacing w:before="240" w:after="240" w:line="360" w:lineRule="auto"/>
        <w:contextualSpacing/>
      </w:pPr>
      <w:bookmarkStart w:id="10" w:name="_Toc23969028"/>
      <w:bookmarkStart w:id="11" w:name="_Toc23969742"/>
      <w:bookmarkStart w:id="12" w:name="_Toc24030525"/>
      <w:bookmarkStart w:id="13" w:name="_Toc24030604"/>
      <w:bookmarkStart w:id="14" w:name="_Toc24030775"/>
      <w:bookmarkStart w:id="15" w:name="_Toc24030898"/>
      <w:bookmarkStart w:id="16" w:name="_Toc24030978"/>
      <w:r w:rsidRPr="00A37ECB">
        <w:rPr>
          <w:color w:val="000000"/>
        </w:rPr>
        <w:t xml:space="preserve">SA2 has concluded that NAS based capabilities are needed for MT-EDT. </w:t>
      </w:r>
      <w:r w:rsidR="00CE0A94" w:rsidRPr="00A37ECB">
        <w:rPr>
          <w:color w:val="000000"/>
        </w:rPr>
        <w:t xml:space="preserve">MME can decide whether a PDN connectivity is applied for MT-EDT according to UE capability. </w:t>
      </w:r>
      <w:r w:rsidRPr="00A37ECB">
        <w:rPr>
          <w:color w:val="000000"/>
        </w:rPr>
        <w:t>RAN2 should have no concern</w:t>
      </w:r>
      <w:r>
        <w:t xml:space="preserve"> about it.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6EFE7A5" w14:textId="2E8A12F6" w:rsidR="001E6BC2" w:rsidRDefault="001E6BC2" w:rsidP="001E6BC2">
      <w:r>
        <w:t>Therefore, we propose:</w:t>
      </w:r>
    </w:p>
    <w:p w14:paraId="43E0ECDC" w14:textId="77777777" w:rsidR="001E6BC2" w:rsidRDefault="001E6BC2" w:rsidP="001E6BC2">
      <w:pPr>
        <w:pStyle w:val="Proposal"/>
      </w:pPr>
      <w:bookmarkStart w:id="17" w:name="_Toc23969744"/>
      <w:bookmarkStart w:id="18" w:name="_Toc24030527"/>
      <w:bookmarkStart w:id="19" w:name="_Toc24030550"/>
      <w:bookmarkStart w:id="20" w:name="_Toc24030606"/>
      <w:bookmarkStart w:id="21" w:name="_Toc24030900"/>
      <w:bookmarkStart w:id="22" w:name="_Toc24030973"/>
      <w:r>
        <w:lastRenderedPageBreak/>
        <w:t xml:space="preserve">From RAN2 point of view, there is no concern to indicate the capability of supporting MT-EDT via NAS layer, and for MME to </w:t>
      </w:r>
      <w:r w:rsidRPr="00CB2651">
        <w:t>decide whether a PDN connectivity is applied for MT-EDT according to UE capability</w:t>
      </w:r>
      <w:r>
        <w:t>.</w:t>
      </w:r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57541E6E" w14:textId="2B903938" w:rsidR="001E6BC2" w:rsidRDefault="001E6BC2" w:rsidP="001E6BC2">
      <w:r w:rsidRPr="001E6BC2">
        <w:t xml:space="preserve">RAN2 </w:t>
      </w:r>
      <w:r>
        <w:t>has previously agreed:</w:t>
      </w:r>
    </w:p>
    <w:p w14:paraId="2E131DC1" w14:textId="77777777" w:rsidR="001E6BC2" w:rsidRPr="00386484" w:rsidRDefault="001E6BC2" w:rsidP="001E6BC2">
      <w:pPr>
        <w:pStyle w:val="Agreement"/>
        <w:tabs>
          <w:tab w:val="clear" w:pos="360"/>
          <w:tab w:val="num" w:pos="1619"/>
        </w:tabs>
        <w:ind w:left="1619"/>
        <w:rPr>
          <w:b w:val="0"/>
        </w:rPr>
      </w:pPr>
      <w:r w:rsidRPr="008322B2">
        <w:rPr>
          <w:b w:val="0"/>
        </w:rPr>
        <w:t xml:space="preserve">It is up to </w:t>
      </w:r>
      <w:proofErr w:type="spellStart"/>
      <w:r w:rsidRPr="008322B2">
        <w:rPr>
          <w:b w:val="0"/>
        </w:rPr>
        <w:t>eNB</w:t>
      </w:r>
      <w:proofErr w:type="spellEnd"/>
      <w:r w:rsidRPr="008322B2">
        <w:rPr>
          <w:b w:val="0"/>
        </w:rPr>
        <w:t xml:space="preserve"> to use MT-EDT based on e.g., UE capability.</w:t>
      </w:r>
    </w:p>
    <w:p w14:paraId="58B91E55" w14:textId="77777777" w:rsidR="00E569E5" w:rsidRDefault="00E569E5" w:rsidP="001E6BC2"/>
    <w:p w14:paraId="07186FCB" w14:textId="6EAB15B4" w:rsidR="001852DD" w:rsidRDefault="001E6BC2" w:rsidP="001E6BC2">
      <w:r>
        <w:t xml:space="preserve">MT EDT </w:t>
      </w:r>
      <w:r w:rsidR="00E569E5">
        <w:t>is</w:t>
      </w:r>
      <w:r>
        <w:t xml:space="preserve"> an optional feature. However, if NAS indicates the capability of CP/UP MT-EDT to the CN, and CN initiates MT-EDT according to UE capability, there should be no need for </w:t>
      </w:r>
      <w:proofErr w:type="spellStart"/>
      <w:r>
        <w:t>eNB</w:t>
      </w:r>
      <w:proofErr w:type="spellEnd"/>
      <w:r>
        <w:t xml:space="preserve"> to </w:t>
      </w:r>
      <w:r w:rsidR="00E569E5">
        <w:t>have additional knowledge of</w:t>
      </w:r>
      <w:r>
        <w:t xml:space="preserve"> whether the UE supports MT-EDT.</w:t>
      </w:r>
      <w:r w:rsidR="00A710C9">
        <w:t xml:space="preserve"> The </w:t>
      </w:r>
      <w:proofErr w:type="spellStart"/>
      <w:r w:rsidR="00A710C9">
        <w:t>eNB</w:t>
      </w:r>
      <w:proofErr w:type="spellEnd"/>
      <w:r w:rsidR="00A710C9">
        <w:t xml:space="preserve"> would have the knowledge about UE category from other capability signalling, and </w:t>
      </w:r>
      <w:proofErr w:type="spellStart"/>
      <w:r w:rsidR="00A710C9">
        <w:t>eNB</w:t>
      </w:r>
      <w:proofErr w:type="spellEnd"/>
      <w:r w:rsidR="00A710C9">
        <w:t xml:space="preserve"> would understand that UE is capable of MT-EDT from the </w:t>
      </w:r>
      <w:r w:rsidR="00E569E5">
        <w:t xml:space="preserve">MT EDT indication in </w:t>
      </w:r>
      <w:r w:rsidR="00A710C9">
        <w:t>Paging</w:t>
      </w:r>
      <w:r w:rsidR="00E569E5">
        <w:t>, if present</w:t>
      </w:r>
      <w:r w:rsidR="00A710C9">
        <w:t>.</w:t>
      </w:r>
    </w:p>
    <w:p w14:paraId="694EB314" w14:textId="51FB85A5" w:rsidR="001E6BC2" w:rsidRPr="001E6BC2" w:rsidRDefault="001852DD" w:rsidP="00C16473">
      <w:pPr>
        <w:pStyle w:val="Proposal"/>
      </w:pPr>
      <w:bookmarkStart w:id="23" w:name="_Toc24030776"/>
      <w:bookmarkStart w:id="24" w:name="_Toc24030901"/>
      <w:bookmarkStart w:id="25" w:name="_Toc24030974"/>
      <w:r>
        <w:t>If NAS indicates MT-EDT capability and CN initiates MT-EDT according to the UE capability, there is no need of</w:t>
      </w:r>
      <w:r w:rsidR="005919AA">
        <w:t xml:space="preserve"> separate</w:t>
      </w:r>
      <w:r>
        <w:t xml:space="preserve"> AS capability </w:t>
      </w:r>
      <w:r w:rsidRPr="005919AA">
        <w:rPr>
          <w:color w:val="000000"/>
        </w:rPr>
        <w:t>indication</w:t>
      </w:r>
      <w:r>
        <w:t xml:space="preserve"> for MT-EDT</w:t>
      </w:r>
      <w:bookmarkEnd w:id="23"/>
      <w:bookmarkEnd w:id="24"/>
      <w:r w:rsidR="005919AA">
        <w:t xml:space="preserve"> (i.e., </w:t>
      </w:r>
      <w:bookmarkStart w:id="26" w:name="_Toc24030528"/>
      <w:bookmarkStart w:id="27" w:name="_Toc24030551"/>
      <w:bookmarkStart w:id="28" w:name="_Toc24030607"/>
      <w:bookmarkStart w:id="29" w:name="_Toc24030902"/>
      <w:r w:rsidR="001E6BC2">
        <w:t xml:space="preserve">CP and/or UP MT EDT are optional features for UE without AS capability </w:t>
      </w:r>
      <w:proofErr w:type="spellStart"/>
      <w:r w:rsidR="001E6BC2">
        <w:t>signall</w:t>
      </w:r>
      <w:bookmarkStart w:id="30" w:name="_GoBack"/>
      <w:bookmarkEnd w:id="30"/>
      <w:r w:rsidR="001E6BC2">
        <w:t>ing</w:t>
      </w:r>
      <w:proofErr w:type="spellEnd"/>
      <w:r w:rsidR="001E6BC2">
        <w:t>.</w:t>
      </w:r>
      <w:bookmarkEnd w:id="26"/>
      <w:bookmarkEnd w:id="27"/>
      <w:bookmarkEnd w:id="28"/>
      <w:bookmarkEnd w:id="29"/>
      <w:r w:rsidR="005919AA">
        <w:t>)</w:t>
      </w:r>
      <w:bookmarkEnd w:id="25"/>
    </w:p>
    <w:p w14:paraId="4A0E58A2" w14:textId="04CFEA75" w:rsidR="003B4550" w:rsidRDefault="003B4550" w:rsidP="003B4550">
      <w:pPr>
        <w:pStyle w:val="Heading2"/>
        <w:ind w:left="540"/>
      </w:pPr>
      <w:r>
        <w:t>M</w:t>
      </w:r>
      <w:r w:rsidR="009E5A0A">
        <w:t>T</w:t>
      </w:r>
      <w:r>
        <w:t xml:space="preserve">-EDT </w:t>
      </w:r>
      <w:r w:rsidR="009E5A0A">
        <w:t>implemented on top of</w:t>
      </w:r>
      <w:r>
        <w:t xml:space="preserve"> MO-EDT</w:t>
      </w:r>
    </w:p>
    <w:p w14:paraId="24C8CCD3" w14:textId="3CE108CE" w:rsidR="002A6DA7" w:rsidRDefault="00990FB1" w:rsidP="00D87309">
      <w:r>
        <w:t>SA2 also indicated</w:t>
      </w:r>
      <w:r w:rsidR="003B4550">
        <w:t>:</w:t>
      </w:r>
    </w:p>
    <w:p w14:paraId="5E102371" w14:textId="77777777" w:rsidR="00990FB1" w:rsidRPr="00EF7E0D" w:rsidRDefault="00990FB1" w:rsidP="00990FB1">
      <w:pPr>
        <w:pStyle w:val="Header"/>
        <w:numPr>
          <w:ilvl w:val="0"/>
          <w:numId w:val="32"/>
        </w:numPr>
        <w:tabs>
          <w:tab w:val="clear" w:pos="4153"/>
          <w:tab w:val="clear" w:pos="8306"/>
        </w:tabs>
        <w:spacing w:after="60"/>
        <w:rPr>
          <w:rFonts w:ascii="Arial" w:eastAsia="SimSun" w:hAnsi="Arial" w:cs="Arial"/>
          <w:lang w:eastAsia="zh-CN"/>
        </w:rPr>
      </w:pPr>
      <w:r w:rsidRPr="00EF7E0D">
        <w:rPr>
          <w:rFonts w:ascii="Arial" w:eastAsia="SimSun" w:hAnsi="Arial" w:cs="Arial"/>
          <w:lang w:eastAsia="zh-CN"/>
        </w:rPr>
        <w:t>SA2 has assumption that MT-EDT is implemented on top of MO-EDT (i.e. UE will trigger MO-EDT procedure in response to Paging Request with MT-EDT indication).</w:t>
      </w:r>
    </w:p>
    <w:p w14:paraId="794B6FE2" w14:textId="77777777" w:rsidR="00990FB1" w:rsidRPr="00D87309" w:rsidRDefault="00990FB1" w:rsidP="00D87309"/>
    <w:p w14:paraId="186AB98C" w14:textId="12BAA011" w:rsidR="00990FB1" w:rsidRDefault="00450B4B" w:rsidP="00450B4B">
      <w:pPr>
        <w:rPr>
          <w:lang w:val="en-US"/>
        </w:rPr>
      </w:pPr>
      <w:r>
        <w:t>RAN2 is aiming to specify MT-EDT with minimal changes and mostly based on Rel-15 MO-EDT</w:t>
      </w:r>
      <w:r w:rsidR="00990FB1">
        <w:t>.</w:t>
      </w:r>
      <w:r>
        <w:t xml:space="preserve"> </w:t>
      </w:r>
      <w:r w:rsidR="00990FB1">
        <w:rPr>
          <w:lang w:val="en-US"/>
        </w:rPr>
        <w:t>In terms of procedure based on RAN2 agreements so far, following are possibilities</w:t>
      </w:r>
      <w:r w:rsidR="00990FB1" w:rsidRPr="00990FB1">
        <w:rPr>
          <w:lang w:val="en-US"/>
        </w:rPr>
        <w:t xml:space="preserve"> </w:t>
      </w:r>
      <w:r w:rsidR="00990FB1">
        <w:rPr>
          <w:lang w:val="en-US"/>
        </w:rPr>
        <w:t>upon reception of mt-EDT indication in paging:</w:t>
      </w:r>
    </w:p>
    <w:p w14:paraId="5B46B9C3" w14:textId="7C6973DA" w:rsidR="00990FB1" w:rsidRDefault="00990FB1" w:rsidP="00990FB1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For CP case, SA2 assumption is correct</w:t>
      </w:r>
      <w:r w:rsidR="009625EA">
        <w:rPr>
          <w:lang w:val="en-US"/>
        </w:rPr>
        <w:t xml:space="preserve"> that UE triggers MO-EDT procedure in response to paging request with MT-EDT indication (w</w:t>
      </w:r>
      <w:r>
        <w:rPr>
          <w:lang w:val="en-US"/>
        </w:rPr>
        <w:t xml:space="preserve">ith the addition of ability to include </w:t>
      </w:r>
      <w:proofErr w:type="spellStart"/>
      <w:r>
        <w:rPr>
          <w:lang w:val="en-US"/>
        </w:rPr>
        <w:t>dedicatedInfoNAS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RRCConnectionSetup</w:t>
      </w:r>
      <w:proofErr w:type="spellEnd"/>
      <w:r>
        <w:rPr>
          <w:lang w:val="en-US"/>
        </w:rPr>
        <w:t xml:space="preserve"> in response to </w:t>
      </w:r>
      <w:proofErr w:type="spellStart"/>
      <w:r>
        <w:rPr>
          <w:lang w:val="en-US"/>
        </w:rPr>
        <w:t>RRCEarlyDataRequest</w:t>
      </w:r>
      <w:proofErr w:type="spellEnd"/>
      <w:r w:rsidR="009625EA">
        <w:rPr>
          <w:lang w:val="en-US"/>
        </w:rPr>
        <w:t>, i.e. during CP EDT fallback to full RRC connection.</w:t>
      </w:r>
      <w:r>
        <w:rPr>
          <w:lang w:val="en-US"/>
        </w:rPr>
        <w:t>)</w:t>
      </w:r>
    </w:p>
    <w:p w14:paraId="3C191C4C" w14:textId="77777777" w:rsidR="0082038F" w:rsidRDefault="00990FB1" w:rsidP="00990FB1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For UP case</w:t>
      </w:r>
      <w:r w:rsidR="0082038F">
        <w:rPr>
          <w:lang w:val="en-US"/>
        </w:rPr>
        <w:t>:</w:t>
      </w:r>
    </w:p>
    <w:p w14:paraId="6695D335" w14:textId="77777777" w:rsidR="0082038F" w:rsidRPr="0082038F" w:rsidRDefault="0082038F" w:rsidP="0082038F">
      <w:pPr>
        <w:pStyle w:val="ListParagraph"/>
        <w:numPr>
          <w:ilvl w:val="1"/>
          <w:numId w:val="26"/>
        </w:numPr>
        <w:rPr>
          <w:lang w:val="en-US"/>
        </w:rPr>
      </w:pPr>
      <w:r>
        <w:t xml:space="preserve">if the UE has UL data suitable for EDT and wants to send UL data as part of EDT upon reception of </w:t>
      </w:r>
      <w:proofErr w:type="spellStart"/>
      <w:r>
        <w:t>mt</w:t>
      </w:r>
      <w:proofErr w:type="spellEnd"/>
      <w:r>
        <w:t>-EDT indication in paging, the subsequent procedure would be same as MO-EDT (i.e., cause values corresponding to Rel-15 EDT, PRACH preamble corresponding to EDT etc.)</w:t>
      </w:r>
    </w:p>
    <w:p w14:paraId="3B84ED99" w14:textId="32E8E30F" w:rsidR="00990FB1" w:rsidRPr="00A37ECB" w:rsidRDefault="00990FB1" w:rsidP="0082038F">
      <w:pPr>
        <w:pStyle w:val="ListParagraph"/>
        <w:numPr>
          <w:ilvl w:val="1"/>
          <w:numId w:val="26"/>
        </w:numPr>
        <w:rPr>
          <w:lang w:val="en-US"/>
        </w:rPr>
      </w:pPr>
      <w:r>
        <w:rPr>
          <w:lang w:val="en-US"/>
        </w:rPr>
        <w:t xml:space="preserve">if </w:t>
      </w:r>
      <w:r w:rsidR="0082038F">
        <w:rPr>
          <w:lang w:val="en-US"/>
        </w:rPr>
        <w:t>the UE has</w:t>
      </w:r>
      <w:r>
        <w:rPr>
          <w:lang w:val="en-US"/>
        </w:rPr>
        <w:t xml:space="preserve"> no UL data</w:t>
      </w:r>
      <w:r w:rsidR="0082038F">
        <w:rPr>
          <w:lang w:val="en-US"/>
        </w:rPr>
        <w:t xml:space="preserve"> suitable for EDT</w:t>
      </w:r>
      <w:r>
        <w:rPr>
          <w:lang w:val="en-US"/>
        </w:rPr>
        <w:t xml:space="preserve"> to send, UE uses non-EDT msg1 </w:t>
      </w:r>
      <w:r w:rsidR="00496200">
        <w:rPr>
          <w:lang w:val="en-US"/>
        </w:rPr>
        <w:t>(</w:t>
      </w:r>
      <w:r>
        <w:rPr>
          <w:lang w:val="en-US"/>
        </w:rPr>
        <w:t xml:space="preserve">and </w:t>
      </w:r>
      <w:r w:rsidR="00496200">
        <w:rPr>
          <w:lang w:val="en-US"/>
        </w:rPr>
        <w:t xml:space="preserve">receives non-EDT </w:t>
      </w:r>
      <w:r>
        <w:rPr>
          <w:lang w:val="en-US"/>
        </w:rPr>
        <w:t>msg2</w:t>
      </w:r>
      <w:r w:rsidR="00496200">
        <w:rPr>
          <w:lang w:val="en-US"/>
        </w:rPr>
        <w:t xml:space="preserve"> from network)</w:t>
      </w:r>
      <w:r>
        <w:rPr>
          <w:lang w:val="en-US"/>
        </w:rPr>
        <w:t xml:space="preserve"> in case of MT-EDT. However, </w:t>
      </w:r>
      <w:r w:rsidR="009450C4">
        <w:rPr>
          <w:lang w:val="en-US"/>
        </w:rPr>
        <w:t xml:space="preserve">AS security context is resumed before </w:t>
      </w:r>
      <w:r w:rsidR="0082038F">
        <w:rPr>
          <w:lang w:val="en-US"/>
        </w:rPr>
        <w:t>m</w:t>
      </w:r>
      <w:r w:rsidR="009450C4">
        <w:rPr>
          <w:lang w:val="en-US"/>
        </w:rPr>
        <w:t>sg3 transmission (</w:t>
      </w:r>
      <w:proofErr w:type="gramStart"/>
      <w:r w:rsidR="009450C4">
        <w:rPr>
          <w:lang w:val="en-US"/>
        </w:rPr>
        <w:t>similar to</w:t>
      </w:r>
      <w:proofErr w:type="gramEnd"/>
      <w:r w:rsidR="009450C4">
        <w:rPr>
          <w:lang w:val="en-US"/>
        </w:rPr>
        <w:t xml:space="preserve"> MO-EDT) and </w:t>
      </w:r>
      <w:r w:rsidR="00061673">
        <w:rPr>
          <w:lang w:val="en-US"/>
        </w:rPr>
        <w:t xml:space="preserve">the MT-EDT </w:t>
      </w:r>
      <w:r w:rsidR="009450C4">
        <w:rPr>
          <w:lang w:val="en-US"/>
        </w:rPr>
        <w:t>msg3 includes a new resume cause</w:t>
      </w:r>
      <w:r w:rsidR="0082038F">
        <w:rPr>
          <w:lang w:val="en-US"/>
        </w:rPr>
        <w:t xml:space="preserve"> to distinguish itself from legacy msg3 in absence of UL data</w:t>
      </w:r>
      <w:r w:rsidR="00061673">
        <w:rPr>
          <w:lang w:val="en-US"/>
        </w:rPr>
        <w:t xml:space="preserve"> (as same RRC message is reused)</w:t>
      </w:r>
      <w:r w:rsidR="009450C4">
        <w:rPr>
          <w:lang w:val="en-US"/>
        </w:rPr>
        <w:t xml:space="preserve">. </w:t>
      </w:r>
    </w:p>
    <w:p w14:paraId="4213D4AF" w14:textId="225BDDDC" w:rsidR="00A37ECB" w:rsidRDefault="00A37ECB" w:rsidP="00A37ECB">
      <w:pPr>
        <w:pStyle w:val="Observation"/>
        <w:numPr>
          <w:ilvl w:val="0"/>
          <w:numId w:val="7"/>
        </w:numPr>
        <w:tabs>
          <w:tab w:val="clear" w:pos="2160"/>
        </w:tabs>
        <w:spacing w:before="240" w:after="240" w:line="360" w:lineRule="auto"/>
        <w:contextualSpacing/>
        <w:rPr>
          <w:lang w:val="en-US"/>
        </w:rPr>
      </w:pPr>
      <w:bookmarkStart w:id="31" w:name="_Toc23969029"/>
      <w:bookmarkStart w:id="32" w:name="_Toc23969743"/>
      <w:bookmarkStart w:id="33" w:name="_Toc24030526"/>
      <w:bookmarkStart w:id="34" w:name="_Toc24030605"/>
      <w:bookmarkStart w:id="35" w:name="_Toc24030777"/>
      <w:bookmarkStart w:id="36" w:name="_Toc24030899"/>
      <w:bookmarkStart w:id="37" w:name="_Toc24030979"/>
      <w:r>
        <w:rPr>
          <w:lang w:val="en-US"/>
        </w:rPr>
        <w:t xml:space="preserve">MT-EDT </w:t>
      </w:r>
      <w:r w:rsidRPr="00A37ECB">
        <w:t>is</w:t>
      </w:r>
      <w:r>
        <w:rPr>
          <w:lang w:val="en-US"/>
        </w:rPr>
        <w:t xml:space="preserve"> </w:t>
      </w:r>
      <w:r w:rsidRPr="00A37ECB">
        <w:t>mostly</w:t>
      </w:r>
      <w:r>
        <w:rPr>
          <w:lang w:val="en-US"/>
        </w:rPr>
        <w:t xml:space="preserve"> implemented on top of MO-EDT, with </w:t>
      </w:r>
      <w:r w:rsidR="00343DA9">
        <w:rPr>
          <w:lang w:val="en-US"/>
        </w:rPr>
        <w:t>minimal</w:t>
      </w:r>
      <w:r>
        <w:rPr>
          <w:lang w:val="en-US"/>
        </w:rPr>
        <w:t xml:space="preserve"> differences</w:t>
      </w:r>
      <w:r w:rsidR="00343DA9">
        <w:rPr>
          <w:lang w:val="en-US"/>
        </w:rPr>
        <w:t xml:space="preserve"> in some scenarios</w:t>
      </w:r>
      <w:r>
        <w:rPr>
          <w:lang w:val="en-US"/>
        </w:rPr>
        <w:t>.</w:t>
      </w:r>
      <w:bookmarkEnd w:id="31"/>
      <w:bookmarkEnd w:id="32"/>
      <w:bookmarkEnd w:id="33"/>
      <w:bookmarkEnd w:id="34"/>
      <w:bookmarkEnd w:id="35"/>
      <w:bookmarkEnd w:id="36"/>
      <w:bookmarkEnd w:id="37"/>
      <w:r>
        <w:rPr>
          <w:lang w:val="en-US"/>
        </w:rPr>
        <w:t xml:space="preserve"> </w:t>
      </w:r>
    </w:p>
    <w:p w14:paraId="0EA898C1" w14:textId="18AD05B0" w:rsidR="00394218" w:rsidRPr="00394218" w:rsidRDefault="00394218" w:rsidP="00394218">
      <w:pPr>
        <w:rPr>
          <w:lang w:val="en-US"/>
        </w:rPr>
      </w:pPr>
      <w:r>
        <w:rPr>
          <w:lang w:val="en-US"/>
        </w:rPr>
        <w:t>As SA2 has specifically requested “</w:t>
      </w:r>
      <w:r w:rsidRPr="00EF7E0D">
        <w:rPr>
          <w:rFonts w:ascii="Arial" w:eastAsia="DengXian" w:hAnsi="Arial" w:cs="Arial"/>
        </w:rPr>
        <w:t>Given SA2 and RAN2/3 meetings are happening the same week, early answer will be appreciated so that the corresponding CR can be agreed by SA2#136</w:t>
      </w:r>
      <w:r>
        <w:rPr>
          <w:rFonts w:ascii="Arial" w:eastAsia="DengXian" w:hAnsi="Arial" w:cs="Arial"/>
        </w:rPr>
        <w:t>”, we propose:</w:t>
      </w:r>
    </w:p>
    <w:p w14:paraId="152FD4DD" w14:textId="4AA9D37F" w:rsidR="00394218" w:rsidRPr="002A6DA7" w:rsidRDefault="00295C24" w:rsidP="00394218">
      <w:pPr>
        <w:pStyle w:val="Proposal"/>
      </w:pPr>
      <w:bookmarkStart w:id="38" w:name="_Toc23968949"/>
      <w:bookmarkStart w:id="39" w:name="_Toc23969036"/>
      <w:bookmarkStart w:id="40" w:name="_Toc23969169"/>
      <w:bookmarkStart w:id="41" w:name="_Toc23969745"/>
      <w:bookmarkStart w:id="42" w:name="_Toc24030529"/>
      <w:bookmarkStart w:id="43" w:name="_Toc24030552"/>
      <w:bookmarkStart w:id="44" w:name="_Toc24030608"/>
      <w:bookmarkStart w:id="45" w:name="_Toc24030903"/>
      <w:bookmarkStart w:id="46" w:name="_Toc24030975"/>
      <w:bookmarkStart w:id="47" w:name="_Toc23946098"/>
      <w:bookmarkStart w:id="48" w:name="_Toc23951874"/>
      <w:r>
        <w:t xml:space="preserve">Send </w:t>
      </w:r>
      <w:r w:rsidR="00394218">
        <w:t>reply LS to SA2 (cc RAN3/CT1</w:t>
      </w:r>
      <w:r w:rsidR="0069128D">
        <w:t>/RAN/SA</w:t>
      </w:r>
      <w:r w:rsidR="00394218">
        <w:t>)</w:t>
      </w:r>
      <w:r>
        <w:t xml:space="preserve"> indicating the above</w:t>
      </w:r>
      <w:r w:rsidR="0069128D">
        <w:t xml:space="preserve"> agreements</w:t>
      </w:r>
      <w:r w:rsidR="00394218">
        <w:t>.</w:t>
      </w:r>
      <w:bookmarkEnd w:id="38"/>
      <w:bookmarkEnd w:id="39"/>
      <w:bookmarkEnd w:id="40"/>
      <w:r w:rsidRPr="00295C24">
        <w:t xml:space="preserve"> </w:t>
      </w:r>
      <w:r>
        <w:t>Draft LS reply is provided in R2-19</w:t>
      </w:r>
      <w:r w:rsidR="0087616F">
        <w:t>15719 [2]</w:t>
      </w:r>
      <w:r>
        <w:t>.</w:t>
      </w:r>
      <w:bookmarkEnd w:id="41"/>
      <w:bookmarkEnd w:id="42"/>
      <w:bookmarkEnd w:id="43"/>
      <w:bookmarkEnd w:id="44"/>
      <w:bookmarkEnd w:id="45"/>
      <w:bookmarkEnd w:id="46"/>
    </w:p>
    <w:p w14:paraId="781D60FF" w14:textId="01AEA7B1" w:rsidR="006D3B71" w:rsidRDefault="00793397" w:rsidP="00394218">
      <w:pPr>
        <w:pStyle w:val="Proposal"/>
      </w:pPr>
      <w:bookmarkStart w:id="49" w:name="_Toc23969746"/>
      <w:bookmarkStart w:id="50" w:name="_Toc24030530"/>
      <w:bookmarkStart w:id="51" w:name="_Toc24030553"/>
      <w:bookmarkStart w:id="52" w:name="_Toc24030609"/>
      <w:bookmarkStart w:id="53" w:name="_Toc24030904"/>
      <w:bookmarkStart w:id="54" w:name="_Toc24030976"/>
      <w:bookmarkStart w:id="55" w:name="_Toc23968950"/>
      <w:bookmarkStart w:id="56" w:name="_Toc23969037"/>
      <w:bookmarkStart w:id="57" w:name="_Toc23969170"/>
      <w:r>
        <w:lastRenderedPageBreak/>
        <w:t xml:space="preserve">Include </w:t>
      </w:r>
      <w:r w:rsidR="00394218">
        <w:t xml:space="preserve">in </w:t>
      </w:r>
      <w:r w:rsidR="0069128D">
        <w:t xml:space="preserve">the </w:t>
      </w:r>
      <w:r>
        <w:t xml:space="preserve">reply </w:t>
      </w:r>
      <w:r w:rsidR="00394218">
        <w:t xml:space="preserve">LS the differences of MT-EDT vs MO-EDT </w:t>
      </w:r>
      <w:r w:rsidR="00295C24">
        <w:t>described above</w:t>
      </w:r>
      <w:r w:rsidR="00394218">
        <w:t>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394218">
        <w:t xml:space="preserve">  </w:t>
      </w:r>
      <w:bookmarkEnd w:id="55"/>
      <w:bookmarkEnd w:id="56"/>
      <w:bookmarkEnd w:id="57"/>
    </w:p>
    <w:p w14:paraId="535E63CF" w14:textId="77777777" w:rsidR="00A366DE" w:rsidRPr="00494055" w:rsidRDefault="00A366DE" w:rsidP="00A366DE"/>
    <w:p w14:paraId="70582CD7" w14:textId="124F31B3" w:rsidR="005F33BA" w:rsidRDefault="000A1DBB" w:rsidP="00881488">
      <w:pPr>
        <w:pStyle w:val="Heading1"/>
      </w:pPr>
      <w:r>
        <w:t>Summary</w:t>
      </w:r>
    </w:p>
    <w:p w14:paraId="0332560E" w14:textId="50298C2F" w:rsidR="000A1DBB" w:rsidRDefault="00A42751" w:rsidP="00F73115">
      <w:r>
        <w:t>In this document, we discuss</w:t>
      </w:r>
      <w:r w:rsidR="00771ADB">
        <w:t>ed</w:t>
      </w:r>
      <w:r>
        <w:t xml:space="preserve"> </w:t>
      </w:r>
      <w:r w:rsidR="00771ADB">
        <w:t xml:space="preserve">LS reply from SA2 on MT-EDTT. </w:t>
      </w:r>
    </w:p>
    <w:p w14:paraId="18584392" w14:textId="77777777" w:rsidR="005919AA" w:rsidRPr="005919AA" w:rsidRDefault="00771AD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919AA">
        <w:rPr>
          <w:b/>
        </w:rPr>
        <w:fldChar w:fldCharType="begin"/>
      </w:r>
      <w:r w:rsidRPr="005919AA">
        <w:rPr>
          <w:b/>
        </w:rPr>
        <w:instrText xml:space="preserve"> TOC \t "Observation" \z \n</w:instrText>
      </w:r>
      <w:r w:rsidRPr="005919AA">
        <w:rPr>
          <w:b/>
        </w:rPr>
        <w:fldChar w:fldCharType="separate"/>
      </w:r>
      <w:r w:rsidR="005919AA" w:rsidRPr="005919AA">
        <w:rPr>
          <w:b/>
          <w:noProof/>
          <w:color w:val="000000"/>
        </w:rPr>
        <w:t>Observation 1.</w:t>
      </w:r>
      <w:r w:rsidR="005919AA" w:rsidRPr="005919A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5919AA" w:rsidRPr="005919AA">
        <w:rPr>
          <w:b/>
          <w:noProof/>
          <w:color w:val="000000"/>
        </w:rPr>
        <w:t>SA2 has technically endorsed CRs S2-1910801 for TS 23.401 and S2-1910763 for TS 23.502 introducing msg4-based MT-EDT in EPS and 5GS respectively.</w:t>
      </w:r>
    </w:p>
    <w:p w14:paraId="0D24FC61" w14:textId="77777777" w:rsidR="005919AA" w:rsidRPr="005919AA" w:rsidRDefault="005919A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919AA">
        <w:rPr>
          <w:b/>
          <w:noProof/>
        </w:rPr>
        <w:t>Observation 2.</w:t>
      </w:r>
      <w:r w:rsidRPr="005919A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5919AA">
        <w:rPr>
          <w:b/>
          <w:noProof/>
          <w:color w:val="000000"/>
        </w:rPr>
        <w:t>SA2 has concluded that NAS based capabilities are needed for MT-EDT. MME can decide whether a PDN connectivity is applied for MT-EDT according to UE capability. RAN2 should have no concern</w:t>
      </w:r>
      <w:r w:rsidRPr="005919AA">
        <w:rPr>
          <w:b/>
          <w:noProof/>
        </w:rPr>
        <w:t xml:space="preserve"> about it.</w:t>
      </w:r>
    </w:p>
    <w:p w14:paraId="5EF2BB86" w14:textId="77777777" w:rsidR="005919AA" w:rsidRPr="005919AA" w:rsidRDefault="005919A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919AA">
        <w:rPr>
          <w:b/>
          <w:noProof/>
          <w:lang w:val="en-US"/>
        </w:rPr>
        <w:t>Observation 3.</w:t>
      </w:r>
      <w:r w:rsidRPr="005919A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5919AA">
        <w:rPr>
          <w:b/>
          <w:noProof/>
          <w:lang w:val="en-US"/>
        </w:rPr>
        <w:t xml:space="preserve">MT-EDT </w:t>
      </w:r>
      <w:r w:rsidRPr="005919AA">
        <w:rPr>
          <w:b/>
          <w:noProof/>
        </w:rPr>
        <w:t>is</w:t>
      </w:r>
      <w:r w:rsidRPr="005919AA">
        <w:rPr>
          <w:b/>
          <w:noProof/>
          <w:lang w:val="en-US"/>
        </w:rPr>
        <w:t xml:space="preserve"> </w:t>
      </w:r>
      <w:r w:rsidRPr="005919AA">
        <w:rPr>
          <w:b/>
          <w:noProof/>
        </w:rPr>
        <w:t>mostly</w:t>
      </w:r>
      <w:r w:rsidRPr="005919AA">
        <w:rPr>
          <w:b/>
          <w:noProof/>
          <w:lang w:val="en-US"/>
        </w:rPr>
        <w:t xml:space="preserve"> implemented on top of MO-EDT, with minimal differences in some scenarios.</w:t>
      </w:r>
    </w:p>
    <w:p w14:paraId="32916F0A" w14:textId="1EA418CD" w:rsidR="00771ADB" w:rsidRPr="00881488" w:rsidRDefault="00771ADB" w:rsidP="00771ADB">
      <w:pPr>
        <w:jc w:val="both"/>
        <w:rPr>
          <w:b/>
        </w:rPr>
      </w:pPr>
      <w:r w:rsidRPr="005919AA">
        <w:rPr>
          <w:b/>
        </w:rPr>
        <w:fldChar w:fldCharType="end"/>
      </w:r>
    </w:p>
    <w:p w14:paraId="292720C1" w14:textId="4D591C34" w:rsidR="00771ADB" w:rsidRDefault="00771ADB" w:rsidP="00F73115">
      <w:r>
        <w:t>Based on the observations, we propose:</w:t>
      </w:r>
    </w:p>
    <w:p w14:paraId="7520B6EC" w14:textId="77777777" w:rsidR="005919AA" w:rsidRPr="005919AA" w:rsidRDefault="00881488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919AA">
        <w:rPr>
          <w:b/>
        </w:rPr>
        <w:fldChar w:fldCharType="begin"/>
      </w:r>
      <w:r w:rsidRPr="005919AA">
        <w:rPr>
          <w:b/>
        </w:rPr>
        <w:instrText xml:space="preserve"> TOC \t "Proposal" \z \n</w:instrText>
      </w:r>
      <w:r w:rsidRPr="005919AA">
        <w:rPr>
          <w:b/>
        </w:rPr>
        <w:fldChar w:fldCharType="separate"/>
      </w:r>
      <w:r w:rsidR="005919AA" w:rsidRPr="005919AA">
        <w:rPr>
          <w:b/>
          <w:noProof/>
        </w:rPr>
        <w:t>Proposal 1.</w:t>
      </w:r>
      <w:r w:rsidR="005919AA" w:rsidRPr="005919A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5919AA" w:rsidRPr="005919AA">
        <w:rPr>
          <w:b/>
          <w:noProof/>
        </w:rPr>
        <w:t>From RAN2 point of view, there is no concern to indicate the capability of supporting MT-EDT via NAS layer, and for MME to decide whether a PDN connectivity is applied for MT-EDT according to UE capability.</w:t>
      </w:r>
    </w:p>
    <w:p w14:paraId="031673C6" w14:textId="77777777" w:rsidR="005919AA" w:rsidRPr="005919AA" w:rsidRDefault="005919A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919AA">
        <w:rPr>
          <w:b/>
          <w:noProof/>
        </w:rPr>
        <w:t>Proposal 2.</w:t>
      </w:r>
      <w:r w:rsidRPr="005919A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bookmarkStart w:id="58" w:name="_Hlk24030996"/>
      <w:r w:rsidRPr="005919AA">
        <w:rPr>
          <w:b/>
          <w:noProof/>
        </w:rPr>
        <w:t xml:space="preserve">If NAS indicates MT-EDT capability and CN initiates MT-EDT according to the UE capability, there is no need of separate AS capability </w:t>
      </w:r>
      <w:r w:rsidRPr="005919AA">
        <w:rPr>
          <w:b/>
          <w:noProof/>
          <w:color w:val="000000"/>
        </w:rPr>
        <w:t>indication</w:t>
      </w:r>
      <w:r w:rsidRPr="005919AA">
        <w:rPr>
          <w:b/>
          <w:noProof/>
        </w:rPr>
        <w:t xml:space="preserve"> for MT-EDT (i.e., CP and/or UP MT EDT are optional features for UE without AS capability signalling.)</w:t>
      </w:r>
    </w:p>
    <w:bookmarkEnd w:id="58"/>
    <w:p w14:paraId="0F64261C" w14:textId="77777777" w:rsidR="005919AA" w:rsidRPr="005919AA" w:rsidRDefault="005919A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919AA">
        <w:rPr>
          <w:b/>
          <w:noProof/>
        </w:rPr>
        <w:t>Proposal 3.</w:t>
      </w:r>
      <w:r w:rsidRPr="005919A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5919AA">
        <w:rPr>
          <w:b/>
          <w:noProof/>
        </w:rPr>
        <w:t>Send reply LS to SA2 (cc RAN3/CT1/RAN/SA) indicating the above agreements. Draft LS reply is provided in R2-1915719 [2].</w:t>
      </w:r>
    </w:p>
    <w:p w14:paraId="1016B5FA" w14:textId="77777777" w:rsidR="005919AA" w:rsidRPr="005919AA" w:rsidRDefault="005919A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919AA">
        <w:rPr>
          <w:b/>
          <w:noProof/>
        </w:rPr>
        <w:t>Proposal 4.</w:t>
      </w:r>
      <w:r w:rsidRPr="005919AA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5919AA">
        <w:rPr>
          <w:b/>
          <w:noProof/>
        </w:rPr>
        <w:t>Include in the reply LS the differences of MT-EDT vs MO-EDT described above.</w:t>
      </w:r>
    </w:p>
    <w:p w14:paraId="477A8A5E" w14:textId="4D34940E" w:rsidR="00F73115" w:rsidRDefault="00881488" w:rsidP="00881488">
      <w:pPr>
        <w:jc w:val="both"/>
        <w:rPr>
          <w:b/>
        </w:rPr>
      </w:pPr>
      <w:r w:rsidRPr="005919AA">
        <w:rPr>
          <w:b/>
        </w:rPr>
        <w:fldChar w:fldCharType="end"/>
      </w:r>
    </w:p>
    <w:p w14:paraId="011CB3CB" w14:textId="4FCBA8ED" w:rsidR="00496D81" w:rsidRDefault="00496D81" w:rsidP="00496D81">
      <w:pPr>
        <w:pStyle w:val="Heading1"/>
      </w:pPr>
      <w:r w:rsidRPr="00496D81">
        <w:t>References</w:t>
      </w:r>
    </w:p>
    <w:p w14:paraId="531C7D8A" w14:textId="702399C2" w:rsidR="00496D81" w:rsidRPr="0087616F" w:rsidRDefault="00496D81" w:rsidP="00496D81">
      <w:pPr>
        <w:rPr>
          <w:rFonts w:ascii="Arial" w:eastAsia="DengXian" w:hAnsi="Arial" w:cs="Arial"/>
        </w:rPr>
      </w:pPr>
      <w:r w:rsidRPr="0087616F">
        <w:rPr>
          <w:rFonts w:ascii="Arial" w:eastAsia="DengXian" w:hAnsi="Arial" w:cs="Arial"/>
        </w:rPr>
        <w:t>[1] R2-1914356/S2-1910804, Reply LS on Mobile-terminated Early Data Transmission, from SA2, Contact: OPPO.</w:t>
      </w:r>
    </w:p>
    <w:p w14:paraId="20CE9387" w14:textId="54F44DC4" w:rsidR="0087616F" w:rsidRPr="0087616F" w:rsidRDefault="0087616F" w:rsidP="00496D81">
      <w:pPr>
        <w:rPr>
          <w:rFonts w:ascii="Arial" w:eastAsia="DengXian" w:hAnsi="Arial" w:cs="Arial"/>
        </w:rPr>
      </w:pPr>
      <w:r w:rsidRPr="0087616F">
        <w:rPr>
          <w:rFonts w:ascii="Arial" w:eastAsia="DengXian" w:hAnsi="Arial" w:cs="Arial"/>
        </w:rPr>
        <w:t>[2] R2-1915719</w:t>
      </w:r>
      <w:r>
        <w:rPr>
          <w:rFonts w:ascii="Arial" w:eastAsia="DengXian" w:hAnsi="Arial" w:cs="Arial"/>
        </w:rPr>
        <w:t>,</w:t>
      </w:r>
      <w:r w:rsidRPr="0087616F">
        <w:rPr>
          <w:rFonts w:ascii="Arial" w:eastAsia="DengXian" w:hAnsi="Arial" w:cs="Arial"/>
        </w:rPr>
        <w:tab/>
        <w:t>[DRAFT] Reply LS on Mobile-terminated Early Data Transmission</w:t>
      </w:r>
      <w:r>
        <w:rPr>
          <w:rFonts w:ascii="Arial" w:eastAsia="DengXian" w:hAnsi="Arial" w:cs="Arial"/>
        </w:rPr>
        <w:t xml:space="preserve">, to: SA2, </w:t>
      </w:r>
      <w:r w:rsidRPr="0087616F">
        <w:rPr>
          <w:rFonts w:ascii="Arial" w:eastAsia="DengXian" w:hAnsi="Arial" w:cs="Arial"/>
        </w:rPr>
        <w:t>Qualcomm Incorporated</w:t>
      </w:r>
      <w:r>
        <w:rPr>
          <w:rFonts w:ascii="Arial" w:eastAsia="DengXian" w:hAnsi="Arial" w:cs="Arial"/>
        </w:rPr>
        <w:t>.</w:t>
      </w:r>
    </w:p>
    <w:sectPr w:rsidR="0087616F" w:rsidRPr="008761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pStyle w:val="TableGrid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7EE73F6"/>
    <w:multiLevelType w:val="hybridMultilevel"/>
    <w:tmpl w:val="C4B4B0D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94537"/>
    <w:multiLevelType w:val="hybridMultilevel"/>
    <w:tmpl w:val="325C6DD8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E36F96"/>
    <w:multiLevelType w:val="hybridMultilevel"/>
    <w:tmpl w:val="13FADC0E"/>
    <w:lvl w:ilvl="0" w:tplc="64D6EAB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C179B2"/>
    <w:multiLevelType w:val="hybridMultilevel"/>
    <w:tmpl w:val="6B7CDC0C"/>
    <w:lvl w:ilvl="0" w:tplc="19788D2C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952020"/>
    <w:multiLevelType w:val="hybridMultilevel"/>
    <w:tmpl w:val="693E0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0653D"/>
    <w:multiLevelType w:val="hybridMultilevel"/>
    <w:tmpl w:val="B964B9FA"/>
    <w:lvl w:ilvl="0" w:tplc="3C28412E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37312F"/>
    <w:multiLevelType w:val="multilevel"/>
    <w:tmpl w:val="B29C7D3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F040E68"/>
    <w:multiLevelType w:val="multilevel"/>
    <w:tmpl w:val="C4940EA0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21E3962"/>
    <w:multiLevelType w:val="hybridMultilevel"/>
    <w:tmpl w:val="F9DE5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"/>
  </w:num>
  <w:num w:numId="5">
    <w:abstractNumId w:val="9"/>
  </w:num>
  <w:num w:numId="6">
    <w:abstractNumId w:val="9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10"/>
  </w:num>
  <w:num w:numId="12">
    <w:abstractNumId w:val="2"/>
  </w:num>
  <w:num w:numId="13">
    <w:abstractNumId w:val="5"/>
  </w:num>
  <w:num w:numId="14">
    <w:abstractNumId w:val="9"/>
  </w:num>
  <w:num w:numId="15">
    <w:abstractNumId w:val="10"/>
  </w:num>
  <w:num w:numId="16">
    <w:abstractNumId w:val="4"/>
  </w:num>
  <w:num w:numId="17">
    <w:abstractNumId w:val="10"/>
  </w:num>
  <w:num w:numId="18">
    <w:abstractNumId w:val="6"/>
  </w:num>
  <w:num w:numId="19">
    <w:abstractNumId w:val="10"/>
  </w:num>
  <w:num w:numId="20">
    <w:abstractNumId w:val="10"/>
  </w:num>
  <w:num w:numId="21">
    <w:abstractNumId w:val="9"/>
  </w:num>
  <w:num w:numId="22">
    <w:abstractNumId w:val="10"/>
  </w:num>
  <w:num w:numId="23">
    <w:abstractNumId w:val="12"/>
  </w:num>
  <w:num w:numId="24">
    <w:abstractNumId w:val="10"/>
  </w:num>
  <w:num w:numId="25">
    <w:abstractNumId w:val="10"/>
  </w:num>
  <w:num w:numId="26">
    <w:abstractNumId w:val="7"/>
  </w:num>
  <w:num w:numId="27">
    <w:abstractNumId w:val="9"/>
  </w:num>
  <w:num w:numId="28">
    <w:abstractNumId w:val="10"/>
  </w:num>
  <w:num w:numId="29">
    <w:abstractNumId w:val="9"/>
  </w:num>
  <w:num w:numId="30">
    <w:abstractNumId w:val="10"/>
  </w:num>
  <w:num w:numId="31">
    <w:abstractNumId w:val="9"/>
  </w:num>
  <w:num w:numId="32">
    <w:abstractNumId w:val="0"/>
  </w:num>
  <w:num w:numId="33">
    <w:abstractNumId w:val="9"/>
  </w:num>
  <w:num w:numId="34">
    <w:abstractNumId w:val="10"/>
  </w:num>
  <w:num w:numId="35">
    <w:abstractNumId w:val="1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160CD"/>
    <w:rsid w:val="000254D2"/>
    <w:rsid w:val="00037AD2"/>
    <w:rsid w:val="00043096"/>
    <w:rsid w:val="000463C5"/>
    <w:rsid w:val="00061673"/>
    <w:rsid w:val="000702A3"/>
    <w:rsid w:val="00082CA3"/>
    <w:rsid w:val="000A1DBB"/>
    <w:rsid w:val="000C585C"/>
    <w:rsid w:val="000D54B4"/>
    <w:rsid w:val="000E7BB8"/>
    <w:rsid w:val="00106201"/>
    <w:rsid w:val="00110F3A"/>
    <w:rsid w:val="00115DA9"/>
    <w:rsid w:val="00120D1E"/>
    <w:rsid w:val="00134444"/>
    <w:rsid w:val="00135B1C"/>
    <w:rsid w:val="00147FED"/>
    <w:rsid w:val="0015174F"/>
    <w:rsid w:val="001635D1"/>
    <w:rsid w:val="00165B7B"/>
    <w:rsid w:val="00171921"/>
    <w:rsid w:val="00184B6F"/>
    <w:rsid w:val="001852DD"/>
    <w:rsid w:val="001858BD"/>
    <w:rsid w:val="00197013"/>
    <w:rsid w:val="001A4543"/>
    <w:rsid w:val="001B6F37"/>
    <w:rsid w:val="001D2CA8"/>
    <w:rsid w:val="001E6BC2"/>
    <w:rsid w:val="001E75E8"/>
    <w:rsid w:val="001F1EDC"/>
    <w:rsid w:val="001F24A0"/>
    <w:rsid w:val="002021F0"/>
    <w:rsid w:val="002038A4"/>
    <w:rsid w:val="00206251"/>
    <w:rsid w:val="002239B2"/>
    <w:rsid w:val="00231237"/>
    <w:rsid w:val="00233392"/>
    <w:rsid w:val="00233DA2"/>
    <w:rsid w:val="00256458"/>
    <w:rsid w:val="00272C80"/>
    <w:rsid w:val="002914BB"/>
    <w:rsid w:val="00292CC8"/>
    <w:rsid w:val="00295C24"/>
    <w:rsid w:val="002A6DA7"/>
    <w:rsid w:val="002B276B"/>
    <w:rsid w:val="00305920"/>
    <w:rsid w:val="00314788"/>
    <w:rsid w:val="0032464F"/>
    <w:rsid w:val="00330DA7"/>
    <w:rsid w:val="003331FA"/>
    <w:rsid w:val="00343619"/>
    <w:rsid w:val="00343DA9"/>
    <w:rsid w:val="00354D64"/>
    <w:rsid w:val="00372A14"/>
    <w:rsid w:val="00373132"/>
    <w:rsid w:val="00374330"/>
    <w:rsid w:val="00385975"/>
    <w:rsid w:val="00394218"/>
    <w:rsid w:val="00397502"/>
    <w:rsid w:val="003B253B"/>
    <w:rsid w:val="003B4550"/>
    <w:rsid w:val="003C3961"/>
    <w:rsid w:val="00402159"/>
    <w:rsid w:val="00404205"/>
    <w:rsid w:val="0042076E"/>
    <w:rsid w:val="00426426"/>
    <w:rsid w:val="004501DF"/>
    <w:rsid w:val="00450B4B"/>
    <w:rsid w:val="0046770E"/>
    <w:rsid w:val="00471FC7"/>
    <w:rsid w:val="00472E99"/>
    <w:rsid w:val="004736B9"/>
    <w:rsid w:val="00485D64"/>
    <w:rsid w:val="00494055"/>
    <w:rsid w:val="00496200"/>
    <w:rsid w:val="00496D81"/>
    <w:rsid w:val="004B032F"/>
    <w:rsid w:val="004B5C30"/>
    <w:rsid w:val="004D0BCF"/>
    <w:rsid w:val="0051696D"/>
    <w:rsid w:val="00537F17"/>
    <w:rsid w:val="00543878"/>
    <w:rsid w:val="00581BFC"/>
    <w:rsid w:val="00587A85"/>
    <w:rsid w:val="005919AA"/>
    <w:rsid w:val="005B5E2A"/>
    <w:rsid w:val="005D386E"/>
    <w:rsid w:val="005F15ED"/>
    <w:rsid w:val="005F33BA"/>
    <w:rsid w:val="00602FA0"/>
    <w:rsid w:val="00610172"/>
    <w:rsid w:val="006144CC"/>
    <w:rsid w:val="00623E86"/>
    <w:rsid w:val="0063223C"/>
    <w:rsid w:val="0063249B"/>
    <w:rsid w:val="00651F88"/>
    <w:rsid w:val="006707A6"/>
    <w:rsid w:val="00684B9B"/>
    <w:rsid w:val="0069128D"/>
    <w:rsid w:val="00696C43"/>
    <w:rsid w:val="006A72F9"/>
    <w:rsid w:val="006B0172"/>
    <w:rsid w:val="006C4B92"/>
    <w:rsid w:val="006D3B71"/>
    <w:rsid w:val="006D6C6E"/>
    <w:rsid w:val="006F4308"/>
    <w:rsid w:val="006F5DA7"/>
    <w:rsid w:val="007410C2"/>
    <w:rsid w:val="007628EE"/>
    <w:rsid w:val="00771ADB"/>
    <w:rsid w:val="007824E6"/>
    <w:rsid w:val="00793397"/>
    <w:rsid w:val="00796127"/>
    <w:rsid w:val="007B4450"/>
    <w:rsid w:val="007C0E6D"/>
    <w:rsid w:val="007C1DF2"/>
    <w:rsid w:val="007E0A60"/>
    <w:rsid w:val="007F1098"/>
    <w:rsid w:val="00807AC9"/>
    <w:rsid w:val="00817F37"/>
    <w:rsid w:val="0082038F"/>
    <w:rsid w:val="00845B1B"/>
    <w:rsid w:val="00873C10"/>
    <w:rsid w:val="0087616F"/>
    <w:rsid w:val="00881488"/>
    <w:rsid w:val="0088639E"/>
    <w:rsid w:val="00886F2A"/>
    <w:rsid w:val="008C3F0A"/>
    <w:rsid w:val="008D350D"/>
    <w:rsid w:val="008E5224"/>
    <w:rsid w:val="00913CF2"/>
    <w:rsid w:val="0094010A"/>
    <w:rsid w:val="009450C4"/>
    <w:rsid w:val="009551D5"/>
    <w:rsid w:val="0095524E"/>
    <w:rsid w:val="0095630E"/>
    <w:rsid w:val="00957772"/>
    <w:rsid w:val="00957A42"/>
    <w:rsid w:val="00960DD3"/>
    <w:rsid w:val="009625EA"/>
    <w:rsid w:val="0097268C"/>
    <w:rsid w:val="00990FB1"/>
    <w:rsid w:val="0099198B"/>
    <w:rsid w:val="009C6697"/>
    <w:rsid w:val="009E5A0A"/>
    <w:rsid w:val="009E618E"/>
    <w:rsid w:val="009F40E5"/>
    <w:rsid w:val="00A27D06"/>
    <w:rsid w:val="00A364A3"/>
    <w:rsid w:val="00A366DE"/>
    <w:rsid w:val="00A37ECB"/>
    <w:rsid w:val="00A42751"/>
    <w:rsid w:val="00A4782A"/>
    <w:rsid w:val="00A510FB"/>
    <w:rsid w:val="00A56395"/>
    <w:rsid w:val="00A710C9"/>
    <w:rsid w:val="00A87BAE"/>
    <w:rsid w:val="00A956E8"/>
    <w:rsid w:val="00AC036F"/>
    <w:rsid w:val="00AC257F"/>
    <w:rsid w:val="00AC6963"/>
    <w:rsid w:val="00AD326C"/>
    <w:rsid w:val="00AE436C"/>
    <w:rsid w:val="00AE51CE"/>
    <w:rsid w:val="00AE7479"/>
    <w:rsid w:val="00B06488"/>
    <w:rsid w:val="00B14190"/>
    <w:rsid w:val="00B25046"/>
    <w:rsid w:val="00B25B5E"/>
    <w:rsid w:val="00B34446"/>
    <w:rsid w:val="00B46732"/>
    <w:rsid w:val="00B500BF"/>
    <w:rsid w:val="00B52932"/>
    <w:rsid w:val="00B748A1"/>
    <w:rsid w:val="00B765AF"/>
    <w:rsid w:val="00B7670D"/>
    <w:rsid w:val="00B8140C"/>
    <w:rsid w:val="00B91F75"/>
    <w:rsid w:val="00B9515B"/>
    <w:rsid w:val="00BB110E"/>
    <w:rsid w:val="00BE150D"/>
    <w:rsid w:val="00BE3A58"/>
    <w:rsid w:val="00C1191E"/>
    <w:rsid w:val="00C17742"/>
    <w:rsid w:val="00C23E7B"/>
    <w:rsid w:val="00C70C93"/>
    <w:rsid w:val="00C94CF0"/>
    <w:rsid w:val="00C95F93"/>
    <w:rsid w:val="00C96F8D"/>
    <w:rsid w:val="00CA5212"/>
    <w:rsid w:val="00CB2651"/>
    <w:rsid w:val="00CB65FE"/>
    <w:rsid w:val="00CC1C5B"/>
    <w:rsid w:val="00CE0A94"/>
    <w:rsid w:val="00CF7202"/>
    <w:rsid w:val="00D01C4F"/>
    <w:rsid w:val="00D40771"/>
    <w:rsid w:val="00D41BFD"/>
    <w:rsid w:val="00D4377E"/>
    <w:rsid w:val="00D63DF7"/>
    <w:rsid w:val="00D64344"/>
    <w:rsid w:val="00D64B81"/>
    <w:rsid w:val="00D70E8C"/>
    <w:rsid w:val="00D87309"/>
    <w:rsid w:val="00D95568"/>
    <w:rsid w:val="00DB5C09"/>
    <w:rsid w:val="00DD0F21"/>
    <w:rsid w:val="00DD5BB7"/>
    <w:rsid w:val="00E31F53"/>
    <w:rsid w:val="00E569E5"/>
    <w:rsid w:val="00E71A23"/>
    <w:rsid w:val="00E91068"/>
    <w:rsid w:val="00EA78CA"/>
    <w:rsid w:val="00EC7CD1"/>
    <w:rsid w:val="00ED4B4F"/>
    <w:rsid w:val="00EF65F5"/>
    <w:rsid w:val="00F011B3"/>
    <w:rsid w:val="00F04A06"/>
    <w:rsid w:val="00F14800"/>
    <w:rsid w:val="00F154DF"/>
    <w:rsid w:val="00F21310"/>
    <w:rsid w:val="00F34101"/>
    <w:rsid w:val="00F3465C"/>
    <w:rsid w:val="00F4196F"/>
    <w:rsid w:val="00F42A39"/>
    <w:rsid w:val="00F43795"/>
    <w:rsid w:val="00F622CE"/>
    <w:rsid w:val="00F64ED3"/>
    <w:rsid w:val="00F66CAC"/>
    <w:rsid w:val="00F73115"/>
    <w:rsid w:val="00F9583B"/>
    <w:rsid w:val="00FA1D68"/>
    <w:rsid w:val="00FA41F7"/>
    <w:rsid w:val="00FD2F34"/>
    <w:rsid w:val="00FF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C8394928-4B25-4BB5-8745-80E5B341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1E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1EDC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F1EDC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F1ED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qFormat/>
    <w:rsid w:val="00494055"/>
    <w:pPr>
      <w:numPr>
        <w:numId w:val="5"/>
      </w:numPr>
      <w:spacing w:before="240" w:after="240" w:line="360" w:lineRule="auto"/>
      <w:jc w:val="both"/>
    </w:pPr>
    <w:rPr>
      <w:b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494055"/>
    <w:rPr>
      <w:rFonts w:ascii="Times New Roman" w:eastAsia="Times New Roman" w:hAnsi="Times New Roman" w:cs="Times New Roman"/>
      <w:b/>
      <w:sz w:val="20"/>
      <w:szCs w:val="20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styleId="Header">
    <w:name w:val="header"/>
    <w:basedOn w:val="Normal"/>
    <w:link w:val="HeaderChar"/>
    <w:semiHidden/>
    <w:rsid w:val="002A6DA7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character" w:customStyle="1" w:styleId="HeaderChar">
    <w:name w:val="Header Char"/>
    <w:basedOn w:val="DefaultParagraphFont"/>
    <w:link w:val="Header"/>
    <w:semiHidden/>
    <w:rsid w:val="002A6DA7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QC (Umesh)</cp:lastModifiedBy>
  <cp:revision>47</cp:revision>
  <dcterms:created xsi:type="dcterms:W3CDTF">2019-11-06T22:40:00Z</dcterms:created>
  <dcterms:modified xsi:type="dcterms:W3CDTF">2019-11-08T07:12:00Z</dcterms:modified>
</cp:coreProperties>
</file>